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B6E8E1" w:rsidR="00844B90" w:rsidRPr="00905035" w:rsidRDefault="00DE2621">
      <w:pPr>
        <w:jc w:val="center"/>
        <w:rPr>
          <w:b/>
          <w:u w:val="single"/>
        </w:rPr>
      </w:pPr>
      <w:r w:rsidRPr="00905035">
        <w:rPr>
          <w:b/>
          <w:u w:val="single"/>
        </w:rPr>
        <w:t>Questions</w:t>
      </w:r>
      <w:r w:rsidR="003501AB">
        <w:rPr>
          <w:b/>
          <w:u w:val="single"/>
        </w:rPr>
        <w:t xml:space="preserve"> and </w:t>
      </w:r>
      <w:proofErr w:type="spellStart"/>
      <w:r w:rsidR="003501AB">
        <w:rPr>
          <w:b/>
          <w:u w:val="single"/>
        </w:rPr>
        <w:t>Answers_Anka</w:t>
      </w:r>
      <w:proofErr w:type="spellEnd"/>
      <w:r w:rsidR="003501AB">
        <w:rPr>
          <w:b/>
          <w:u w:val="single"/>
        </w:rPr>
        <w:t xml:space="preserve"> </w:t>
      </w:r>
      <w:proofErr w:type="spellStart"/>
      <w:r w:rsidR="003501AB">
        <w:rPr>
          <w:b/>
          <w:u w:val="single"/>
        </w:rPr>
        <w:t>Jiko</w:t>
      </w:r>
      <w:proofErr w:type="spellEnd"/>
      <w:r w:rsidR="003501AB">
        <w:rPr>
          <w:b/>
          <w:u w:val="single"/>
        </w:rPr>
        <w:t xml:space="preserve"> RFP</w:t>
      </w:r>
      <w:r w:rsidRPr="00905035">
        <w:rPr>
          <w:b/>
          <w:u w:val="single"/>
        </w:rPr>
        <w:t xml:space="preserve"> </w:t>
      </w:r>
    </w:p>
    <w:p w14:paraId="00000002" w14:textId="77777777" w:rsidR="00844B90" w:rsidRPr="00905035" w:rsidRDefault="00844B90" w:rsidP="000156B6">
      <w:pPr>
        <w:jc w:val="both"/>
        <w:rPr>
          <w:b/>
          <w:u w:val="single"/>
        </w:rPr>
      </w:pPr>
    </w:p>
    <w:p w14:paraId="00000003" w14:textId="77777777" w:rsidR="00844B90" w:rsidRPr="00905035" w:rsidRDefault="00DE2621" w:rsidP="000156B6">
      <w:pPr>
        <w:numPr>
          <w:ilvl w:val="0"/>
          <w:numId w:val="2"/>
        </w:numPr>
        <w:spacing w:after="120" w:line="240" w:lineRule="auto"/>
        <w:ind w:left="714" w:hanging="357"/>
        <w:jc w:val="both"/>
      </w:pPr>
      <w:r w:rsidRPr="00905035">
        <w:t>For the data collection devices required, is our agency able to include the cost of renting/purchasing these devices in our proposed budget? Or will this be an expense incurred upon us separately? </w:t>
      </w:r>
    </w:p>
    <w:p w14:paraId="70337F6F" w14:textId="77777777" w:rsidR="001A238B" w:rsidRDefault="00361C79" w:rsidP="000156B6">
      <w:pPr>
        <w:spacing w:after="120" w:line="240" w:lineRule="auto"/>
        <w:ind w:left="714"/>
        <w:jc w:val="both"/>
        <w:rPr>
          <w:color w:val="FF0000"/>
        </w:rPr>
      </w:pPr>
      <w:r w:rsidRPr="00905035">
        <w:rPr>
          <w:color w:val="FF0000"/>
        </w:rPr>
        <w:t xml:space="preserve">Some companies already have a stock of tablets/phones for data collection </w:t>
      </w:r>
      <w:r w:rsidR="000156B6" w:rsidRPr="00905035">
        <w:rPr>
          <w:color w:val="FF0000"/>
        </w:rPr>
        <w:t>purposes,</w:t>
      </w:r>
      <w:r w:rsidRPr="00905035">
        <w:rPr>
          <w:color w:val="FF0000"/>
        </w:rPr>
        <w:t xml:space="preserve"> and some do not. Bidders should propose the c</w:t>
      </w:r>
      <w:r w:rsidR="00B40B1A" w:rsidRPr="00905035">
        <w:rPr>
          <w:color w:val="FF0000"/>
        </w:rPr>
        <w:t xml:space="preserve">osts they expect to incur </w:t>
      </w:r>
      <w:r w:rsidR="000156B6" w:rsidRPr="00905035">
        <w:rPr>
          <w:color w:val="FF0000"/>
        </w:rPr>
        <w:t>to</w:t>
      </w:r>
      <w:r w:rsidR="00B40B1A" w:rsidRPr="00905035">
        <w:rPr>
          <w:color w:val="FF0000"/>
        </w:rPr>
        <w:t xml:space="preserve"> carry out the data collection efforts.</w:t>
      </w:r>
    </w:p>
    <w:p w14:paraId="74667A27" w14:textId="63FC5334" w:rsidR="00D80C53" w:rsidRPr="00905035" w:rsidRDefault="00092E20" w:rsidP="000156B6">
      <w:pPr>
        <w:spacing w:after="120" w:line="240" w:lineRule="auto"/>
        <w:ind w:left="714"/>
        <w:jc w:val="both"/>
        <w:rPr>
          <w:color w:val="FF0000"/>
        </w:rPr>
      </w:pPr>
      <w:r>
        <w:rPr>
          <w:color w:val="FF0000"/>
        </w:rPr>
        <w:t xml:space="preserve">All IT equipment and devices used </w:t>
      </w:r>
      <w:r w:rsidR="00BC4EAB">
        <w:rPr>
          <w:color w:val="FF0000"/>
        </w:rPr>
        <w:t>for</w:t>
      </w:r>
      <w:r>
        <w:rPr>
          <w:color w:val="FF0000"/>
        </w:rPr>
        <w:t xml:space="preserve"> data collection must abide by</w:t>
      </w:r>
      <w:r w:rsidR="009477A7">
        <w:rPr>
          <w:color w:val="FF0000"/>
        </w:rPr>
        <w:t xml:space="preserve"> Section 889 Compliance, which prohibits</w:t>
      </w:r>
      <w:r w:rsidR="00A85CD4">
        <w:rPr>
          <w:color w:val="FF0000"/>
        </w:rPr>
        <w:t xml:space="preserve"> contractors</w:t>
      </w:r>
      <w:r w:rsidR="009477A7">
        <w:rPr>
          <w:color w:val="FF0000"/>
        </w:rPr>
        <w:t xml:space="preserve"> from procuring or using covered telecommunications equipment or services </w:t>
      </w:r>
      <w:r w:rsidR="00A85CD4">
        <w:rPr>
          <w:color w:val="FF0000"/>
        </w:rPr>
        <w:t>which are manufactured or provided by certain Chinese telecommunications companies and their subsidiaries. The full list of banned subsidiaries can be obtained at</w:t>
      </w:r>
      <w:r w:rsidR="001A238B">
        <w:rPr>
          <w:color w:val="FF0000"/>
        </w:rPr>
        <w:t>:</w:t>
      </w:r>
      <w:r w:rsidR="00A85CD4">
        <w:rPr>
          <w:color w:val="FF0000"/>
        </w:rPr>
        <w:t xml:space="preserve"> </w:t>
      </w:r>
      <w:hyperlink r:id="rId7" w:history="1">
        <w:r w:rsidR="001A238B" w:rsidRPr="00D22674">
          <w:rPr>
            <w:rStyle w:val="Hyperlink"/>
          </w:rPr>
          <w:t>https://media.defense.gov/2022/Oct/05/2003091659/-1/-1/0/1260H%20COMPANIES.PDF</w:t>
        </w:r>
      </w:hyperlink>
      <w:r w:rsidR="001A238B">
        <w:rPr>
          <w:color w:val="FF0000"/>
        </w:rPr>
        <w:t xml:space="preserve">. </w:t>
      </w:r>
    </w:p>
    <w:p w14:paraId="00000005" w14:textId="77777777" w:rsidR="00844B90" w:rsidRPr="00905035" w:rsidRDefault="00DE2621" w:rsidP="000156B6">
      <w:pPr>
        <w:numPr>
          <w:ilvl w:val="0"/>
          <w:numId w:val="2"/>
        </w:numPr>
        <w:spacing w:after="120" w:line="240" w:lineRule="auto"/>
        <w:ind w:left="714" w:hanging="357"/>
        <w:jc w:val="both"/>
      </w:pPr>
      <w:r w:rsidRPr="00905035">
        <w:t>To clarify: Social Impact, and not the data collection provider, will be responsible for sampling? </w:t>
      </w:r>
    </w:p>
    <w:p w14:paraId="00000006" w14:textId="77777777" w:rsidR="00844B90" w:rsidRPr="00905035" w:rsidRDefault="00DE2621" w:rsidP="000156B6">
      <w:pPr>
        <w:spacing w:after="120" w:line="240" w:lineRule="auto"/>
        <w:ind w:left="714"/>
        <w:jc w:val="both"/>
      </w:pPr>
      <w:r w:rsidRPr="00905035">
        <w:t>In the RFP it is stated that the SI BT is responsible for sampling, but it is also stated that:</w:t>
      </w:r>
    </w:p>
    <w:p w14:paraId="00000007" w14:textId="77777777" w:rsidR="00844B90" w:rsidRPr="00905035" w:rsidRDefault="00DE2621" w:rsidP="000156B6">
      <w:pPr>
        <w:spacing w:after="120" w:line="240" w:lineRule="auto"/>
        <w:ind w:left="714"/>
        <w:jc w:val="both"/>
        <w:rPr>
          <w:i/>
        </w:rPr>
      </w:pPr>
      <w:r w:rsidRPr="00905035">
        <w:rPr>
          <w:i/>
        </w:rPr>
        <w:t xml:space="preserve">“The data collection firm will be responsible for providing a dataset of 2019 census data needed to draw the sample.” </w:t>
      </w:r>
    </w:p>
    <w:p w14:paraId="00000008" w14:textId="77777777" w:rsidR="00844B90" w:rsidRPr="00905035" w:rsidRDefault="00DE2621">
      <w:pPr>
        <w:spacing w:after="120" w:line="240" w:lineRule="auto"/>
        <w:ind w:left="714"/>
        <w:rPr>
          <w:u w:val="single"/>
        </w:rPr>
      </w:pPr>
      <w:r w:rsidRPr="00905035">
        <w:rPr>
          <w:u w:val="single"/>
        </w:rPr>
        <w:t>Please clarify:</w:t>
      </w:r>
    </w:p>
    <w:p w14:paraId="00000009" w14:textId="77777777" w:rsidR="00844B90" w:rsidRPr="00905035" w:rsidRDefault="00DE2621">
      <w:pPr>
        <w:numPr>
          <w:ilvl w:val="0"/>
          <w:numId w:val="1"/>
        </w:numPr>
        <w:spacing w:after="120" w:line="240" w:lineRule="auto"/>
        <w:ind w:left="1071" w:hanging="357"/>
      </w:pPr>
      <w:r w:rsidRPr="00905035">
        <w:t xml:space="preserve">What is the purpose of this if the SI BT is responsible for sampling? </w:t>
      </w:r>
    </w:p>
    <w:p w14:paraId="104F203D" w14:textId="77777777" w:rsidR="00914E4D" w:rsidRPr="00905035" w:rsidRDefault="00914E4D" w:rsidP="000156B6">
      <w:pPr>
        <w:spacing w:after="120" w:line="240" w:lineRule="auto"/>
        <w:ind w:left="714"/>
        <w:jc w:val="both"/>
        <w:rPr>
          <w:color w:val="FF0000"/>
        </w:rPr>
      </w:pPr>
      <w:r w:rsidRPr="00905035">
        <w:rPr>
          <w:color w:val="FF0000"/>
        </w:rPr>
        <w:t>Social Impact will inform the data collection firm as to the number of people to survey/interview within each enumeration area.  Social Impact will also provide guidance as to how to select specific households within those areas. However, since qualified data collection firms are expected to have substantial experience carrying out similar data collection efforts in these zones, the firm will have invaluable local knowledge that will be useful for informing the sample selection, including having access to local sources of population information.</w:t>
      </w:r>
    </w:p>
    <w:p w14:paraId="0000000A" w14:textId="77777777" w:rsidR="00844B90" w:rsidRPr="00905035" w:rsidRDefault="00DE2621">
      <w:pPr>
        <w:numPr>
          <w:ilvl w:val="0"/>
          <w:numId w:val="1"/>
        </w:numPr>
        <w:spacing w:after="120" w:line="240" w:lineRule="auto"/>
        <w:ind w:left="1071" w:hanging="357"/>
      </w:pPr>
      <w:r w:rsidRPr="00905035">
        <w:t xml:space="preserve">Would suggest any preferable resources for finding 2019 census data that is disaggregated by Household and Dwelling? </w:t>
      </w:r>
    </w:p>
    <w:p w14:paraId="7B69F978" w14:textId="14AB32C0" w:rsidR="00914E4D" w:rsidRPr="00905035" w:rsidRDefault="00914E4D" w:rsidP="000156B6">
      <w:pPr>
        <w:spacing w:after="120" w:line="240" w:lineRule="auto"/>
        <w:ind w:left="714"/>
        <w:jc w:val="both"/>
        <w:rPr>
          <w:color w:val="FF0000"/>
        </w:rPr>
      </w:pPr>
      <w:r w:rsidRPr="00905035">
        <w:rPr>
          <w:color w:val="FF0000"/>
        </w:rPr>
        <w:t>Bidders should draw on their local knowledge of conducting similar data collection efforts in Mali to identify data sources for the population figures.</w:t>
      </w:r>
      <w:r w:rsidR="002B378E" w:rsidRPr="00905035">
        <w:rPr>
          <w:color w:val="FF0000"/>
        </w:rPr>
        <w:t xml:space="preserve"> However, Social Impact does not expect the data collection firm to provide population information </w:t>
      </w:r>
      <w:r w:rsidR="00797378" w:rsidRPr="00905035">
        <w:rPr>
          <w:color w:val="FF0000"/>
        </w:rPr>
        <w:t>specific to households or dwelling units (only at the level of enumeration areas).</w:t>
      </w:r>
    </w:p>
    <w:p w14:paraId="0000000B" w14:textId="77777777" w:rsidR="00844B90" w:rsidRPr="00905035" w:rsidRDefault="00DE2621">
      <w:pPr>
        <w:numPr>
          <w:ilvl w:val="0"/>
          <w:numId w:val="1"/>
        </w:numPr>
        <w:spacing w:after="120" w:line="240" w:lineRule="auto"/>
        <w:ind w:left="1071" w:hanging="357"/>
      </w:pPr>
      <w:r w:rsidRPr="00905035">
        <w:t>Or, alternatively, will the data collection provider only need to find data disaggregated by village, commune, and SE? </w:t>
      </w:r>
    </w:p>
    <w:p w14:paraId="7AC3DF2E" w14:textId="7F3D1C6B" w:rsidR="00797378" w:rsidRPr="00905035" w:rsidRDefault="00797378" w:rsidP="000156B6">
      <w:pPr>
        <w:spacing w:after="120" w:line="240" w:lineRule="auto"/>
        <w:ind w:left="714"/>
        <w:jc w:val="both"/>
        <w:rPr>
          <w:color w:val="FF0000"/>
        </w:rPr>
      </w:pPr>
      <w:r w:rsidRPr="00905035">
        <w:rPr>
          <w:color w:val="FF0000"/>
        </w:rPr>
        <w:t>See response above.</w:t>
      </w:r>
    </w:p>
    <w:p w14:paraId="667825C9" w14:textId="77777777" w:rsidR="00473847" w:rsidRPr="00905035" w:rsidRDefault="00473847" w:rsidP="000156B6">
      <w:pPr>
        <w:spacing w:after="120" w:line="240" w:lineRule="auto"/>
        <w:ind w:left="714"/>
        <w:jc w:val="both"/>
        <w:rPr>
          <w:color w:val="FF0000"/>
        </w:rPr>
      </w:pPr>
    </w:p>
    <w:p w14:paraId="0000000D" w14:textId="77777777" w:rsidR="00844B90" w:rsidRPr="00905035" w:rsidRDefault="00DE2621" w:rsidP="000156B6">
      <w:pPr>
        <w:numPr>
          <w:ilvl w:val="0"/>
          <w:numId w:val="2"/>
        </w:numPr>
        <w:spacing w:after="120" w:line="240" w:lineRule="auto"/>
        <w:ind w:left="714" w:hanging="357"/>
        <w:jc w:val="both"/>
      </w:pPr>
      <w:r w:rsidRPr="00905035">
        <w:t>Can Social Impact provide any resources in Mali that the data collection provider will be able to use to conduct required trainings? (i.e. - vehicles, offices, databases, etc.).</w:t>
      </w:r>
    </w:p>
    <w:p w14:paraId="0000000E" w14:textId="6201379B" w:rsidR="00844B90" w:rsidRPr="00905035" w:rsidRDefault="00473847" w:rsidP="000156B6">
      <w:pPr>
        <w:spacing w:after="120" w:line="240" w:lineRule="auto"/>
        <w:ind w:left="714"/>
        <w:jc w:val="both"/>
        <w:rPr>
          <w:color w:val="FF0000"/>
        </w:rPr>
      </w:pPr>
      <w:r w:rsidRPr="00905035">
        <w:rPr>
          <w:color w:val="FF0000"/>
        </w:rPr>
        <w:t xml:space="preserve">Social Impact has an office in Bamako which can host training sessions for up to 20 people. The training that will be carried out will be in the region and not in Bamako. The selected firm will have to take all the financial and security legal provisions in close </w:t>
      </w:r>
      <w:r w:rsidRPr="00905035">
        <w:rPr>
          <w:color w:val="FF0000"/>
        </w:rPr>
        <w:lastRenderedPageBreak/>
        <w:t xml:space="preserve">collaboration with the SI team for the conduct of these training courses in optimal conditions. </w:t>
      </w:r>
      <w:r w:rsidR="00CB2553" w:rsidRPr="00905035">
        <w:rPr>
          <w:color w:val="FF0000"/>
        </w:rPr>
        <w:t>Social Impact will</w:t>
      </w:r>
      <w:r w:rsidR="00E02EC8" w:rsidRPr="00905035">
        <w:rPr>
          <w:color w:val="FF0000"/>
        </w:rPr>
        <w:t xml:space="preserve"> conduct survey programming in SurveyCTO for the quantitative survey</w:t>
      </w:r>
      <w:r w:rsidR="00797378" w:rsidRPr="00905035">
        <w:rPr>
          <w:color w:val="FF0000"/>
        </w:rPr>
        <w:t xml:space="preserve">. </w:t>
      </w:r>
      <w:r w:rsidR="00E02EC8" w:rsidRPr="00905035">
        <w:rPr>
          <w:color w:val="FF0000"/>
        </w:rPr>
        <w:t>Aside from this,</w:t>
      </w:r>
      <w:r w:rsidR="00797378" w:rsidRPr="00905035">
        <w:rPr>
          <w:color w:val="FF0000"/>
        </w:rPr>
        <w:t xml:space="preserve"> </w:t>
      </w:r>
      <w:r w:rsidR="00E02EC8" w:rsidRPr="00905035">
        <w:rPr>
          <w:color w:val="FF0000"/>
        </w:rPr>
        <w:t>b</w:t>
      </w:r>
      <w:r w:rsidR="00797378" w:rsidRPr="00905035">
        <w:rPr>
          <w:color w:val="FF0000"/>
        </w:rPr>
        <w:t xml:space="preserve">idders must </w:t>
      </w:r>
      <w:r w:rsidR="00CB2553" w:rsidRPr="00905035">
        <w:rPr>
          <w:color w:val="FF0000"/>
        </w:rPr>
        <w:t>plan to use (and/or hire) all support services</w:t>
      </w:r>
      <w:r w:rsidR="00E02EC8" w:rsidRPr="00905035">
        <w:rPr>
          <w:color w:val="FF0000"/>
        </w:rPr>
        <w:t xml:space="preserve">, facilities, vehicles, </w:t>
      </w:r>
      <w:r w:rsidRPr="00905035">
        <w:rPr>
          <w:color w:val="FF0000"/>
        </w:rPr>
        <w:t>etc.</w:t>
      </w:r>
      <w:r w:rsidR="00317AA1" w:rsidRPr="00905035">
        <w:rPr>
          <w:color w:val="FF0000"/>
        </w:rPr>
        <w:t xml:space="preserve"> to support both enumerator training as well as the actual data collection.</w:t>
      </w:r>
    </w:p>
    <w:p w14:paraId="57233ACC" w14:textId="77777777" w:rsidR="00317AA1" w:rsidRPr="00905035" w:rsidRDefault="00DE2621" w:rsidP="000156B6">
      <w:pPr>
        <w:numPr>
          <w:ilvl w:val="0"/>
          <w:numId w:val="2"/>
        </w:numPr>
        <w:spacing w:after="120" w:line="240" w:lineRule="auto"/>
        <w:ind w:left="714" w:hanging="357"/>
        <w:jc w:val="both"/>
      </w:pPr>
      <w:r w:rsidRPr="00905035">
        <w:t>Please elaborate on the reasons for including alternate communes in the sampling. If possible, please also provide example situations in which the alternative communes might be used during data collection.</w:t>
      </w:r>
    </w:p>
    <w:p w14:paraId="0000000F" w14:textId="147434B1" w:rsidR="00844B90" w:rsidRPr="00905035" w:rsidRDefault="00317AA1" w:rsidP="000156B6">
      <w:pPr>
        <w:spacing w:after="120" w:line="240" w:lineRule="auto"/>
        <w:ind w:left="714"/>
        <w:jc w:val="both"/>
      </w:pPr>
      <w:r w:rsidRPr="00905035">
        <w:rPr>
          <w:color w:val="FF0000"/>
        </w:rPr>
        <w:t xml:space="preserve">These “alternate” communes are alternates only for the purposes of the Anka Jiko Activity. All “alternate” communes will be included in the </w:t>
      </w:r>
      <w:r w:rsidR="00D30F74" w:rsidRPr="00905035">
        <w:rPr>
          <w:color w:val="FF0000"/>
        </w:rPr>
        <w:t>survey data collection effort and bidders should plan for data collection in these areas.</w:t>
      </w:r>
      <w:r w:rsidRPr="00905035">
        <w:t xml:space="preserve"> </w:t>
      </w:r>
      <w:r w:rsidR="00473847" w:rsidRPr="00905035">
        <w:t>It may happen that municipalities are inaccessible due to wintering, accessibility, security. As a reminder, Mali is in the grip of violent activities and a security assessment will be made daily before the deployment of collection agents. It is good in this case to have alternative municipalities in the event of an incident or validly documented reason.</w:t>
      </w:r>
    </w:p>
    <w:p w14:paraId="00000010" w14:textId="77777777" w:rsidR="00844B90" w:rsidRPr="00905035" w:rsidRDefault="00DE2621" w:rsidP="000156B6">
      <w:pPr>
        <w:numPr>
          <w:ilvl w:val="0"/>
          <w:numId w:val="2"/>
        </w:numPr>
        <w:spacing w:after="120" w:line="240" w:lineRule="auto"/>
        <w:ind w:left="714" w:hanging="357"/>
        <w:jc w:val="both"/>
      </w:pPr>
      <w:r w:rsidRPr="00905035">
        <w:t xml:space="preserve">Can the Supervisor of the KII team (of 2) actively participate in data collection, or does Social Impact prefer that the Supervisor duties be separate from the duties of KII/Survey Collection staff? </w:t>
      </w:r>
    </w:p>
    <w:p w14:paraId="6BF648A7" w14:textId="77777777" w:rsidR="00905035" w:rsidRPr="00905035" w:rsidRDefault="00D30F74" w:rsidP="00905035">
      <w:pPr>
        <w:spacing w:after="120" w:line="240" w:lineRule="auto"/>
        <w:ind w:left="714"/>
        <w:rPr>
          <w:color w:val="FF0000"/>
        </w:rPr>
      </w:pPr>
      <w:r w:rsidRPr="00905035">
        <w:rPr>
          <w:color w:val="FF0000"/>
        </w:rPr>
        <w:t>Bidders should propose the approach</w:t>
      </w:r>
      <w:r w:rsidR="009C29CF" w:rsidRPr="00905035">
        <w:rPr>
          <w:color w:val="FF0000"/>
        </w:rPr>
        <w:t xml:space="preserve"> that </w:t>
      </w:r>
      <w:r w:rsidR="00AF3FDF" w:rsidRPr="00905035">
        <w:rPr>
          <w:color w:val="FF0000"/>
        </w:rPr>
        <w:t xml:space="preserve">they believe is best.  At a minimum, all supervisors should </w:t>
      </w:r>
      <w:r w:rsidR="002F451D" w:rsidRPr="00905035">
        <w:rPr>
          <w:color w:val="FF0000"/>
        </w:rPr>
        <w:t>have the time and ability to provide adequate supervision of their entire team as a means of ensuring strong data quality.</w:t>
      </w:r>
    </w:p>
    <w:p w14:paraId="6A861F69" w14:textId="77777777" w:rsidR="00905035" w:rsidRPr="00905035" w:rsidRDefault="00905035" w:rsidP="00905035">
      <w:pPr>
        <w:spacing w:after="120" w:line="240" w:lineRule="auto"/>
      </w:pPr>
    </w:p>
    <w:p w14:paraId="705E269A" w14:textId="34817B75" w:rsidR="00905035" w:rsidRPr="00905035" w:rsidRDefault="00905035" w:rsidP="00905035">
      <w:pPr>
        <w:pStyle w:val="ListParagraph"/>
        <w:numPr>
          <w:ilvl w:val="0"/>
          <w:numId w:val="2"/>
        </w:numPr>
        <w:spacing w:after="120" w:line="240" w:lineRule="auto"/>
        <w:ind w:left="720"/>
      </w:pPr>
      <w:r w:rsidRPr="00905035">
        <w:t xml:space="preserve">We have one question regarding your call for tenders. We are a digital &amp; IT company with a strong expertise in surveys and databases (and data collect). Does our company status allow us to </w:t>
      </w:r>
      <w:proofErr w:type="spellStart"/>
      <w:r w:rsidRPr="00905035">
        <w:t>anwser</w:t>
      </w:r>
      <w:proofErr w:type="spellEnd"/>
      <w:r w:rsidRPr="00905035">
        <w:t xml:space="preserve"> or do all bidders need to be survey oriented companies?</w:t>
      </w:r>
    </w:p>
    <w:p w14:paraId="66FBCE70" w14:textId="77777777" w:rsidR="00905035" w:rsidRPr="00905035" w:rsidRDefault="00905035" w:rsidP="00905035">
      <w:pPr>
        <w:spacing w:after="120" w:line="240" w:lineRule="auto"/>
        <w:ind w:left="720"/>
        <w:rPr>
          <w:color w:val="FF0000"/>
        </w:rPr>
      </w:pPr>
      <w:r w:rsidRPr="00905035">
        <w:rPr>
          <w:color w:val="FF0000"/>
        </w:rPr>
        <w:t>We are looking for Malian companies that have a good experience in data collection in the Wash area more specifically. Any company regularly registered in Mali and having documented references is invited to submit a technical and financial proposal.</w:t>
      </w:r>
    </w:p>
    <w:p w14:paraId="13A0612A" w14:textId="77777777" w:rsidR="00905035" w:rsidRPr="00905035" w:rsidRDefault="00905035" w:rsidP="00905035">
      <w:pPr>
        <w:spacing w:after="120" w:line="240" w:lineRule="auto"/>
        <w:ind w:left="720"/>
        <w:rPr>
          <w:color w:val="FF0000"/>
        </w:rPr>
      </w:pPr>
    </w:p>
    <w:p w14:paraId="652B9F7D" w14:textId="36B082D9" w:rsidR="00905035" w:rsidRPr="00905035" w:rsidRDefault="00905035" w:rsidP="00905035">
      <w:pPr>
        <w:pStyle w:val="ListParagraph"/>
        <w:numPr>
          <w:ilvl w:val="0"/>
          <w:numId w:val="2"/>
        </w:numPr>
        <w:spacing w:after="120" w:line="240" w:lineRule="auto"/>
        <w:ind w:left="720"/>
      </w:pPr>
      <w:r w:rsidRPr="00905035">
        <w:t>Has the collection application already been designed? if so, would it be possible to know the indicators?</w:t>
      </w:r>
    </w:p>
    <w:p w14:paraId="55926177" w14:textId="77777777" w:rsidR="00905035" w:rsidRPr="00905035" w:rsidRDefault="00905035" w:rsidP="00905035">
      <w:pPr>
        <w:spacing w:after="120" w:line="240" w:lineRule="auto"/>
        <w:ind w:left="720"/>
        <w:rPr>
          <w:color w:val="FF0000"/>
        </w:rPr>
      </w:pPr>
      <w:r w:rsidRPr="00905035">
        <w:rPr>
          <w:color w:val="FF0000"/>
        </w:rPr>
        <w:t>The collection application is developed under Survey CTO and will be shared with the firm that will be retained at the end of this selection process after the signing of the contract. Data collection agents will be trained on the different tools and testing will be done to correct any bugs found. However, at this stage of the RFQ, we do not wish to share any indicators with potential bidders.</w:t>
      </w:r>
    </w:p>
    <w:p w14:paraId="6BB1F103" w14:textId="57C33C1F" w:rsidR="00905035" w:rsidRPr="00905035" w:rsidRDefault="00905035" w:rsidP="00905035">
      <w:pPr>
        <w:pStyle w:val="ListParagraph"/>
        <w:numPr>
          <w:ilvl w:val="0"/>
          <w:numId w:val="2"/>
        </w:numPr>
        <w:spacing w:after="120" w:line="240" w:lineRule="auto"/>
        <w:ind w:left="1080"/>
      </w:pPr>
      <w:r w:rsidRPr="00905035">
        <w:t xml:space="preserve">For logistics, fieldwork will be done together with you or </w:t>
      </w:r>
      <w:proofErr w:type="gramStart"/>
      <w:r w:rsidRPr="00905035">
        <w:t>separately?</w:t>
      </w:r>
      <w:proofErr w:type="gramEnd"/>
    </w:p>
    <w:p w14:paraId="2D877634" w14:textId="2477F7AD" w:rsidR="00905035" w:rsidRPr="00905035" w:rsidRDefault="00905035" w:rsidP="00905035">
      <w:pPr>
        <w:spacing w:after="120" w:line="240" w:lineRule="auto"/>
        <w:ind w:left="720"/>
        <w:rPr>
          <w:color w:val="FF0000"/>
        </w:rPr>
      </w:pPr>
      <w:r w:rsidRPr="00905035">
        <w:rPr>
          <w:color w:val="FF0000"/>
        </w:rPr>
        <w:t>Firm proposals should include all costs associated with data collection including logistics and any other costs identified in the methodology. The Baseline team will supervise the surveys carried out by the firm with its own resources. The supervision methodology will be shared during the preparation phase of the field survey.</w:t>
      </w:r>
    </w:p>
    <w:p w14:paraId="00000011" w14:textId="77777777" w:rsidR="00844B90" w:rsidRDefault="00844B90" w:rsidP="00905035">
      <w:pPr>
        <w:spacing w:after="120" w:line="240" w:lineRule="auto"/>
        <w:ind w:left="720"/>
      </w:pPr>
    </w:p>
    <w:p w14:paraId="259F4F86" w14:textId="77777777" w:rsidR="00BF2D69" w:rsidRDefault="00BF2D69" w:rsidP="00905035">
      <w:pPr>
        <w:spacing w:after="120" w:line="240" w:lineRule="auto"/>
        <w:ind w:left="720"/>
      </w:pPr>
    </w:p>
    <w:p w14:paraId="6D3E71C0" w14:textId="77777777" w:rsidR="00BF2D69" w:rsidRPr="00905035" w:rsidRDefault="00BF2D69" w:rsidP="00905035">
      <w:pPr>
        <w:spacing w:after="120" w:line="240" w:lineRule="auto"/>
        <w:ind w:left="720"/>
      </w:pPr>
    </w:p>
    <w:p w14:paraId="00000012" w14:textId="5942784B" w:rsidR="00844B90" w:rsidRPr="00905035" w:rsidRDefault="001C01BB" w:rsidP="00905035">
      <w:pPr>
        <w:ind w:left="720"/>
        <w:rPr>
          <w:b/>
          <w:bCs/>
          <w:u w:val="single"/>
          <w:lang w:val="fr-FR"/>
        </w:rPr>
      </w:pPr>
      <w:r w:rsidRPr="00905035">
        <w:rPr>
          <w:b/>
          <w:bCs/>
          <w:u w:val="single"/>
          <w:lang w:val="fr-FR"/>
        </w:rPr>
        <w:lastRenderedPageBreak/>
        <w:t>Version Française</w:t>
      </w:r>
    </w:p>
    <w:p w14:paraId="45327254" w14:textId="530EF0EA" w:rsidR="002006EA" w:rsidRPr="003F6420" w:rsidRDefault="002006EA" w:rsidP="00905035">
      <w:pPr>
        <w:numPr>
          <w:ilvl w:val="0"/>
          <w:numId w:val="4"/>
        </w:numPr>
        <w:spacing w:after="120" w:line="240" w:lineRule="auto"/>
        <w:ind w:left="720"/>
        <w:jc w:val="both"/>
        <w:rPr>
          <w:lang w:val="fr-FR"/>
        </w:rPr>
      </w:pPr>
      <w:r w:rsidRPr="00905035">
        <w:rPr>
          <w:lang w:val="fr-FR"/>
        </w:rPr>
        <w:t xml:space="preserve">Pour les appareils de collecte de données requis, notre agence est-elle en mesure d'inclure le coût de location/achat de ces appareils dans notre budget proposé ? </w:t>
      </w:r>
      <w:r w:rsidRPr="003F6420">
        <w:rPr>
          <w:lang w:val="fr-FR"/>
        </w:rPr>
        <w:t xml:space="preserve">Ou s'agira-t-il d'une dépense que nous engagerons </w:t>
      </w:r>
      <w:proofErr w:type="gramStart"/>
      <w:r w:rsidR="00473847" w:rsidRPr="003F6420">
        <w:rPr>
          <w:lang w:val="fr-FR"/>
        </w:rPr>
        <w:t>séparément?</w:t>
      </w:r>
      <w:proofErr w:type="gramEnd"/>
    </w:p>
    <w:p w14:paraId="3B58CB38" w14:textId="77777777" w:rsidR="002006EA" w:rsidRDefault="002006EA" w:rsidP="00905035">
      <w:pPr>
        <w:ind w:left="720"/>
        <w:jc w:val="both"/>
        <w:rPr>
          <w:color w:val="FF0000"/>
          <w:lang w:val="fr-FR"/>
        </w:rPr>
      </w:pPr>
      <w:r w:rsidRPr="00905035">
        <w:rPr>
          <w:color w:val="FF0000"/>
          <w:lang w:val="fr-FR"/>
        </w:rPr>
        <w:t>Certaines entreprises disposent déjà d'un stock de tablettes/téléphones à des fins de collecte de données et d'autres non. Les soumissionnaires doivent proposer les coûts qu'ils prévoient d'engager pour mener à bien les efforts de collecte de données.</w:t>
      </w:r>
    </w:p>
    <w:p w14:paraId="56C03A9C" w14:textId="77777777" w:rsidR="00BF2D69" w:rsidRDefault="00BF2D69" w:rsidP="00905035">
      <w:pPr>
        <w:ind w:left="720"/>
        <w:jc w:val="both"/>
        <w:rPr>
          <w:color w:val="FF0000"/>
          <w:lang w:val="fr-FR"/>
        </w:rPr>
      </w:pPr>
    </w:p>
    <w:p w14:paraId="2318A8E0" w14:textId="0E7AEB10" w:rsidR="00BF2D69" w:rsidRPr="00A40F7C" w:rsidRDefault="00A40F7C" w:rsidP="00905035">
      <w:pPr>
        <w:ind w:left="720"/>
        <w:jc w:val="both"/>
        <w:rPr>
          <w:color w:val="FF0000"/>
          <w:lang w:val="fr-FR"/>
        </w:rPr>
      </w:pPr>
      <w:r w:rsidRPr="00A40F7C">
        <w:rPr>
          <w:color w:val="FF0000"/>
          <w:lang w:val="fr-FR"/>
        </w:rPr>
        <w:t xml:space="preserve">Tous les équipements et appareils informatiques utilisés pour la collecte de données doivent respecter la section 889 Compliance, qui interdit aux sous-traitants de se procurer ou d'utiliser des équipements ou services de télécommunications couverts qui sont fabriqués ou fournis par certaines sociétés de télécommunications chinoises et leurs filiales. La liste complète des filiales interdites peut être obtenue </w:t>
      </w:r>
      <w:proofErr w:type="gramStart"/>
      <w:r w:rsidRPr="00A40F7C">
        <w:rPr>
          <w:color w:val="FF0000"/>
          <w:lang w:val="fr-FR"/>
        </w:rPr>
        <w:t>sur</w:t>
      </w:r>
      <w:r w:rsidR="00BF2D69" w:rsidRPr="00A40F7C">
        <w:rPr>
          <w:color w:val="FF0000"/>
          <w:lang w:val="fr-FR"/>
        </w:rPr>
        <w:t>:</w:t>
      </w:r>
      <w:proofErr w:type="gramEnd"/>
      <w:r w:rsidR="00BF2D69" w:rsidRPr="00A40F7C">
        <w:rPr>
          <w:color w:val="FF0000"/>
          <w:lang w:val="fr-FR"/>
        </w:rPr>
        <w:t xml:space="preserve"> </w:t>
      </w:r>
      <w:hyperlink r:id="rId8" w:history="1">
        <w:r w:rsidR="00BF2D69" w:rsidRPr="00A40F7C">
          <w:rPr>
            <w:rStyle w:val="Hyperlink"/>
            <w:lang w:val="fr-FR"/>
          </w:rPr>
          <w:t>https://media.defense.gov/2022/Oct/05/2003091659/-1/-1/0/1260H%20COMPANIES.PDF</w:t>
        </w:r>
      </w:hyperlink>
      <w:r w:rsidR="00BF2D69" w:rsidRPr="00A40F7C">
        <w:rPr>
          <w:color w:val="FF0000"/>
          <w:lang w:val="fr-FR"/>
        </w:rPr>
        <w:t>.</w:t>
      </w:r>
    </w:p>
    <w:p w14:paraId="587900DA" w14:textId="77777777" w:rsidR="002006EA" w:rsidRPr="00A40F7C" w:rsidRDefault="002006EA" w:rsidP="00905035">
      <w:pPr>
        <w:ind w:left="720"/>
        <w:rPr>
          <w:lang w:val="fr-FR"/>
        </w:rPr>
      </w:pPr>
    </w:p>
    <w:p w14:paraId="35229F69" w14:textId="22237BB9" w:rsidR="002006EA" w:rsidRPr="00905035" w:rsidRDefault="002006EA" w:rsidP="00905035">
      <w:pPr>
        <w:numPr>
          <w:ilvl w:val="0"/>
          <w:numId w:val="4"/>
        </w:numPr>
        <w:spacing w:after="120" w:line="240" w:lineRule="auto"/>
        <w:ind w:left="720"/>
        <w:jc w:val="both"/>
        <w:rPr>
          <w:lang w:val="fr-FR"/>
        </w:rPr>
      </w:pPr>
      <w:r w:rsidRPr="00905035">
        <w:rPr>
          <w:lang w:val="fr-FR"/>
        </w:rPr>
        <w:t>Pour clarifier : C'est Social Impact, et non le fournisseur de collecte de données, qui sera responsable de l'échantillonnage ?</w:t>
      </w:r>
    </w:p>
    <w:p w14:paraId="0C4A4E6C" w14:textId="77777777" w:rsidR="002006EA" w:rsidRPr="00905035" w:rsidRDefault="002006EA" w:rsidP="00905035">
      <w:pPr>
        <w:spacing w:after="120" w:line="240" w:lineRule="auto"/>
        <w:ind w:left="720"/>
        <w:jc w:val="both"/>
        <w:rPr>
          <w:lang w:val="fr-FR"/>
        </w:rPr>
      </w:pPr>
      <w:r w:rsidRPr="00905035">
        <w:rPr>
          <w:lang w:val="fr-FR"/>
        </w:rPr>
        <w:t>Dans la DP, il est indiqué que le SI BT est responsable de l'échantillonnage, mais il est également indiqué que :</w:t>
      </w:r>
    </w:p>
    <w:p w14:paraId="19AF3F75" w14:textId="77777777" w:rsidR="002006EA" w:rsidRPr="00905035" w:rsidRDefault="002006EA" w:rsidP="00905035">
      <w:pPr>
        <w:spacing w:after="120" w:line="240" w:lineRule="auto"/>
        <w:ind w:left="720"/>
        <w:jc w:val="both"/>
        <w:rPr>
          <w:lang w:val="fr-FR"/>
        </w:rPr>
      </w:pPr>
      <w:r w:rsidRPr="00905035">
        <w:rPr>
          <w:lang w:val="fr-FR"/>
        </w:rPr>
        <w:t>"La société de collecte de données sera chargée de fournir un ensemble de données de recensement de 2019 nécessaires pour tirer l'échantillon."</w:t>
      </w:r>
    </w:p>
    <w:p w14:paraId="7FD1ABEE" w14:textId="172E9773" w:rsidR="002006EA" w:rsidRPr="00905035" w:rsidRDefault="002006EA" w:rsidP="00905035">
      <w:pPr>
        <w:ind w:left="720"/>
        <w:rPr>
          <w:lang w:val="fr-FR"/>
        </w:rPr>
      </w:pPr>
      <w:proofErr w:type="gramStart"/>
      <w:r w:rsidRPr="00905035">
        <w:rPr>
          <w:lang w:val="fr-FR"/>
        </w:rPr>
        <w:t>Précisez s'il</w:t>
      </w:r>
      <w:proofErr w:type="gramEnd"/>
      <w:r w:rsidRPr="00905035">
        <w:rPr>
          <w:lang w:val="fr-FR"/>
        </w:rPr>
        <w:t xml:space="preserve"> vous </w:t>
      </w:r>
      <w:r w:rsidR="000156B6" w:rsidRPr="00905035">
        <w:rPr>
          <w:lang w:val="fr-FR"/>
        </w:rPr>
        <w:t>plaît :</w:t>
      </w:r>
    </w:p>
    <w:p w14:paraId="29BDB97B" w14:textId="77777777" w:rsidR="002006EA" w:rsidRPr="00905035" w:rsidRDefault="002006EA" w:rsidP="00905035">
      <w:pPr>
        <w:ind w:left="720"/>
        <w:rPr>
          <w:lang w:val="fr-FR"/>
        </w:rPr>
      </w:pPr>
      <w:r w:rsidRPr="00905035">
        <w:rPr>
          <w:lang w:val="fr-FR"/>
        </w:rPr>
        <w:t>a) A quoi cela sert-il si le SI BT est responsable de l'échantillonnage ?</w:t>
      </w:r>
    </w:p>
    <w:p w14:paraId="6E816C70" w14:textId="77777777" w:rsidR="002006EA" w:rsidRPr="00905035" w:rsidRDefault="002006EA" w:rsidP="00905035">
      <w:pPr>
        <w:ind w:left="720"/>
        <w:jc w:val="both"/>
        <w:rPr>
          <w:color w:val="FF0000"/>
          <w:lang w:val="fr-FR"/>
        </w:rPr>
      </w:pPr>
      <w:r w:rsidRPr="00905035">
        <w:rPr>
          <w:color w:val="FF0000"/>
          <w:lang w:val="fr-FR"/>
        </w:rPr>
        <w:t>Social Impact informera l'entreprise de collecte de données du nombre de personnes à sonder/interviewer dans chaque zone de dénombrement. Social Impact fournira également des conseils sur la manière de sélectionner des ménages spécifiques dans ces zones. Cependant, étant donné que les entreprises de collecte de données qualifiées sont censées avoir une expérience substantielle dans la réalisation d'efforts similaires de collecte de données dans ces zones, l'entreprise disposera de connaissances locales inestimables qui seront utiles pour éclairer la sélection de l'échantillon, y compris l'accès aux sources locales d'informations sur la population.</w:t>
      </w:r>
    </w:p>
    <w:p w14:paraId="7629ECD6" w14:textId="77777777" w:rsidR="002006EA" w:rsidRPr="00905035" w:rsidRDefault="002006EA" w:rsidP="00905035">
      <w:pPr>
        <w:ind w:left="720"/>
        <w:rPr>
          <w:lang w:val="fr-FR"/>
        </w:rPr>
      </w:pPr>
      <w:r w:rsidRPr="00905035">
        <w:rPr>
          <w:lang w:val="fr-FR"/>
        </w:rPr>
        <w:t>b) Suggéreriez-vous des ressources préférables pour trouver les données du recensement de 2019 désagrégées par ménage et logement ?</w:t>
      </w:r>
    </w:p>
    <w:p w14:paraId="416FBA2A" w14:textId="77777777" w:rsidR="002006EA" w:rsidRPr="00905035" w:rsidRDefault="002006EA" w:rsidP="00905035">
      <w:pPr>
        <w:ind w:left="720"/>
        <w:jc w:val="both"/>
        <w:rPr>
          <w:color w:val="FF0000"/>
          <w:lang w:val="fr-FR"/>
        </w:rPr>
      </w:pPr>
      <w:r w:rsidRPr="00905035">
        <w:rPr>
          <w:color w:val="FF0000"/>
          <w:lang w:val="fr-FR"/>
        </w:rPr>
        <w:t>Les soumissionnaires doivent s'appuyer sur leurs connaissances locales pour mener des efforts similaires de collecte de données au Mali afin d'identifier les sources de données pour les chiffres de la population. Cependant, Social Impact ne s'attend pas à ce que l'entreprise de collecte de données fournisse des informations démographiques spécifiques aux ménages ou aux unités d'habitation (uniquement au niveau des zones de dénombrement).</w:t>
      </w:r>
    </w:p>
    <w:p w14:paraId="7645B0CD" w14:textId="77777777" w:rsidR="002006EA" w:rsidRPr="00905035" w:rsidRDefault="002006EA" w:rsidP="00905035">
      <w:pPr>
        <w:ind w:left="720"/>
        <w:rPr>
          <w:lang w:val="fr-FR"/>
        </w:rPr>
      </w:pPr>
      <w:r w:rsidRPr="00905035">
        <w:rPr>
          <w:lang w:val="fr-FR"/>
        </w:rPr>
        <w:t>c) Ou, alternativement, le fournisseur de collecte de données aura-t-il seulement besoin de trouver des données désagrégées par village, commune et SE ?</w:t>
      </w:r>
    </w:p>
    <w:p w14:paraId="6A9C969D" w14:textId="77777777" w:rsidR="002006EA" w:rsidRPr="00905035" w:rsidRDefault="002006EA" w:rsidP="00905035">
      <w:pPr>
        <w:ind w:left="720"/>
        <w:rPr>
          <w:color w:val="FF0000"/>
          <w:lang w:val="fr-FR"/>
        </w:rPr>
      </w:pPr>
      <w:r w:rsidRPr="00905035">
        <w:rPr>
          <w:color w:val="FF0000"/>
          <w:lang w:val="fr-FR"/>
        </w:rPr>
        <w:t>Voir réponse ci-dessus.</w:t>
      </w:r>
    </w:p>
    <w:p w14:paraId="144B05D7" w14:textId="77777777" w:rsidR="002006EA" w:rsidRPr="00905035" w:rsidRDefault="002006EA" w:rsidP="00905035">
      <w:pPr>
        <w:ind w:left="720"/>
        <w:rPr>
          <w:lang w:val="fr-FR"/>
        </w:rPr>
      </w:pPr>
    </w:p>
    <w:p w14:paraId="1D2BC5CD" w14:textId="31AF365B" w:rsidR="002006EA" w:rsidRPr="00905035" w:rsidRDefault="002006EA" w:rsidP="00905035">
      <w:pPr>
        <w:numPr>
          <w:ilvl w:val="0"/>
          <w:numId w:val="4"/>
        </w:numPr>
        <w:spacing w:after="120" w:line="240" w:lineRule="auto"/>
        <w:ind w:left="720"/>
        <w:jc w:val="both"/>
        <w:rPr>
          <w:lang w:val="fr-FR"/>
        </w:rPr>
      </w:pPr>
      <w:r w:rsidRPr="00905035">
        <w:rPr>
          <w:lang w:val="fr-FR"/>
        </w:rPr>
        <w:lastRenderedPageBreak/>
        <w:t>Social Impact peut-il fournir des ressources au Mali que le fournisseur de collecte de données pourra utiliser pour organiser les formations requises ? (</w:t>
      </w:r>
      <w:r w:rsidR="000156B6" w:rsidRPr="00905035">
        <w:rPr>
          <w:lang w:val="fr-FR"/>
        </w:rPr>
        <w:t>C’est</w:t>
      </w:r>
      <w:r w:rsidRPr="00905035">
        <w:rPr>
          <w:lang w:val="fr-FR"/>
        </w:rPr>
        <w:t>-à-dire - véhicules, bureaux, bases de données, etc.).</w:t>
      </w:r>
    </w:p>
    <w:p w14:paraId="335001E5" w14:textId="76F902C4" w:rsidR="002006EA" w:rsidRPr="00905035" w:rsidRDefault="00473847" w:rsidP="00905035">
      <w:pPr>
        <w:ind w:left="720"/>
        <w:jc w:val="both"/>
        <w:rPr>
          <w:color w:val="FF0000"/>
          <w:lang w:val="fr-FR"/>
        </w:rPr>
      </w:pPr>
      <w:r w:rsidRPr="00905035">
        <w:rPr>
          <w:color w:val="FF0000"/>
          <w:lang w:val="fr-FR"/>
        </w:rPr>
        <w:t xml:space="preserve">Social impact dispose d'un bureau à Bamako qui peut abriter des séances de formation jusqu'à 20 personnes. Les formations qui seront réalisées le seront en region et non à Bamako. La firme retenue devra prendre toutes les dispositions logistiques financières et sécuritaire en étroite collaboration avec l'équipe de BT pour la conduite dans des conditions optimales de ces formations.  </w:t>
      </w:r>
      <w:r w:rsidR="002006EA" w:rsidRPr="00905035">
        <w:rPr>
          <w:color w:val="FF0000"/>
          <w:lang w:val="fr-FR"/>
        </w:rPr>
        <w:t>Social Impact mènera une programmation d'enquête dans SurveyCTO pour l'enquête quantitative. En dehors de cela, les soumissionnaires doivent prévoir d'utiliser (et/ou de louer) tous les services de soutien, installations, véhicules, etc. pour soutenir à la fois la formation des recenseurs ainsi que la collecte de données proprement dite.</w:t>
      </w:r>
    </w:p>
    <w:p w14:paraId="4CDF108E" w14:textId="77777777" w:rsidR="00FA2E56" w:rsidRPr="00905035" w:rsidRDefault="00FA2E56" w:rsidP="00905035">
      <w:pPr>
        <w:ind w:left="720"/>
        <w:jc w:val="both"/>
        <w:rPr>
          <w:lang w:val="fr-FR"/>
        </w:rPr>
      </w:pPr>
    </w:p>
    <w:p w14:paraId="1F657F6A" w14:textId="57B7DEB8" w:rsidR="002006EA" w:rsidRPr="00905035" w:rsidRDefault="002006EA" w:rsidP="00905035">
      <w:pPr>
        <w:numPr>
          <w:ilvl w:val="0"/>
          <w:numId w:val="4"/>
        </w:numPr>
        <w:spacing w:after="120" w:line="240" w:lineRule="auto"/>
        <w:ind w:left="720"/>
        <w:jc w:val="both"/>
        <w:rPr>
          <w:lang w:val="fr-FR"/>
        </w:rPr>
      </w:pPr>
      <w:r w:rsidRPr="00905035">
        <w:rPr>
          <w:lang w:val="fr-FR"/>
        </w:rPr>
        <w:t>Veuillez préciser les raisons pour lesquelles des communes alternatives ont été incluses dans l'échantillonnage. Si possible, veuillez également fournir des exemples de situations dans lesquelles les communes alternatives pourraient être utilisées lors de la collecte de données.</w:t>
      </w:r>
    </w:p>
    <w:p w14:paraId="13D5DB74" w14:textId="06B3EAE2" w:rsidR="002006EA" w:rsidRPr="00905035" w:rsidRDefault="002006EA" w:rsidP="00905035">
      <w:pPr>
        <w:ind w:left="720"/>
        <w:jc w:val="both"/>
        <w:rPr>
          <w:color w:val="FF0000"/>
          <w:lang w:val="fr-FR"/>
        </w:rPr>
      </w:pPr>
      <w:r w:rsidRPr="00905035">
        <w:rPr>
          <w:color w:val="FF0000"/>
          <w:lang w:val="fr-FR"/>
        </w:rPr>
        <w:t xml:space="preserve">Ces communes </w:t>
      </w:r>
      <w:r w:rsidR="001E51AC" w:rsidRPr="00905035">
        <w:rPr>
          <w:color w:val="FF0000"/>
          <w:lang w:val="fr-FR"/>
        </w:rPr>
        <w:t xml:space="preserve">« alternatives » </w:t>
      </w:r>
      <w:r w:rsidRPr="00905035">
        <w:rPr>
          <w:color w:val="FF0000"/>
          <w:lang w:val="fr-FR"/>
        </w:rPr>
        <w:t>ne sont suppléantes qu'aux fins de l'Activité Anka Jiko. Toutes les communes « alternatives » seront incluses dans l'effort de collecte de données d'enquête et les soumissionnaires doivent planifier la collecte de données dans ces zones.</w:t>
      </w:r>
      <w:r w:rsidR="00DE2621" w:rsidRPr="00905035">
        <w:rPr>
          <w:lang w:val="fr-FR"/>
        </w:rPr>
        <w:t xml:space="preserve"> </w:t>
      </w:r>
      <w:r w:rsidR="00DE2621" w:rsidRPr="00905035">
        <w:rPr>
          <w:color w:val="FF0000"/>
          <w:lang w:val="fr-FR"/>
        </w:rPr>
        <w:t>Il peut arriver que des communes soient inaccessibles du a l'hivernage, a l'accessibilité, la sécurité. Pour rappel, le Mali est en proie à des activites de violence et une evaluation sécuritaire sera faite journalièrement avant le déploiement des agents de collecte. Il est bon dans ce cas de disposer de communes alternatives en cas d'incident ou de raison valablement documentées.</w:t>
      </w:r>
    </w:p>
    <w:p w14:paraId="0117B761" w14:textId="77777777" w:rsidR="00FA2E56" w:rsidRPr="00905035" w:rsidRDefault="00FA2E56" w:rsidP="00905035">
      <w:pPr>
        <w:ind w:left="720"/>
        <w:jc w:val="both"/>
        <w:rPr>
          <w:lang w:val="fr-FR"/>
        </w:rPr>
      </w:pPr>
    </w:p>
    <w:p w14:paraId="0E50B1BB" w14:textId="55C5D892" w:rsidR="002006EA" w:rsidRPr="00905035" w:rsidRDefault="002006EA" w:rsidP="00905035">
      <w:pPr>
        <w:numPr>
          <w:ilvl w:val="0"/>
          <w:numId w:val="4"/>
        </w:numPr>
        <w:spacing w:after="120" w:line="240" w:lineRule="auto"/>
        <w:ind w:left="720"/>
        <w:jc w:val="both"/>
        <w:rPr>
          <w:lang w:val="fr-FR"/>
        </w:rPr>
      </w:pPr>
      <w:r w:rsidRPr="00905035">
        <w:rPr>
          <w:lang w:val="fr-FR"/>
        </w:rPr>
        <w:t>Le superviseur de l'équipe KII (sur 2) peut-il participer activement à la collecte de données, ou Social Impact préfère-t-il que les tâches du superviseur soient séparées des tâches du personnel KII/Enquête ?</w:t>
      </w:r>
    </w:p>
    <w:p w14:paraId="434C21B2" w14:textId="724DE416" w:rsidR="00905035" w:rsidRPr="00905035" w:rsidRDefault="002006EA" w:rsidP="00905035">
      <w:pPr>
        <w:ind w:left="720"/>
        <w:jc w:val="both"/>
        <w:rPr>
          <w:color w:val="FF0000"/>
          <w:lang w:val="fr-FR"/>
        </w:rPr>
      </w:pPr>
      <w:r w:rsidRPr="00905035">
        <w:rPr>
          <w:color w:val="FF0000"/>
          <w:lang w:val="fr-FR"/>
        </w:rPr>
        <w:t>Les soumissionnaires doivent proposer l'approche qu'ils jugent la meilleure. Au minimum, tous les superviseurs doivent avoir le temps et la capacité d'assurer une supervision adéquate de l'ensemble de leur équipe afin d'assurer une qualité solide des données.</w:t>
      </w:r>
    </w:p>
    <w:p w14:paraId="00C7BA6F" w14:textId="77777777" w:rsidR="00905035" w:rsidRPr="00905035" w:rsidRDefault="00905035" w:rsidP="00905035">
      <w:pPr>
        <w:ind w:left="720"/>
        <w:jc w:val="both"/>
        <w:rPr>
          <w:color w:val="FF0000"/>
          <w:lang w:val="fr-FR"/>
        </w:rPr>
      </w:pPr>
    </w:p>
    <w:p w14:paraId="15C7A8CD" w14:textId="5E8954E4" w:rsidR="00905035" w:rsidRPr="00905035" w:rsidRDefault="00905035" w:rsidP="00905035">
      <w:pPr>
        <w:pStyle w:val="ListParagraph"/>
        <w:numPr>
          <w:ilvl w:val="0"/>
          <w:numId w:val="4"/>
        </w:numPr>
        <w:spacing w:after="160" w:line="257" w:lineRule="auto"/>
        <w:ind w:left="1080"/>
        <w:jc w:val="both"/>
        <w:rPr>
          <w:lang w:val="fr-FR"/>
        </w:rPr>
      </w:pPr>
      <w:r w:rsidRPr="00905035">
        <w:rPr>
          <w:lang w:val="fr-FR"/>
        </w:rPr>
        <w:t>Nous avons une question concernant votre appel d'offres. Nous sommes une entreprise numérique et informatique avec une forte expertise dans les enquêtes et les bases de données (et la collecte de données). Est-ce que notre statut d'entreprise nous permet de répondre ou est-ce que tous les soumissionnaires doivent être des entreprises orientées sondage ?</w:t>
      </w:r>
    </w:p>
    <w:p w14:paraId="27A373F3" w14:textId="77777777" w:rsidR="00905035" w:rsidRPr="00905035" w:rsidRDefault="00905035" w:rsidP="00905035">
      <w:pPr>
        <w:pStyle w:val="ListParagraph"/>
        <w:spacing w:before="240"/>
        <w:jc w:val="both"/>
        <w:rPr>
          <w:color w:val="FF0000"/>
          <w:lang w:val="fr-FR"/>
        </w:rPr>
      </w:pPr>
      <w:r w:rsidRPr="00905035">
        <w:rPr>
          <w:color w:val="FF0000"/>
          <w:lang w:val="fr-FR"/>
        </w:rPr>
        <w:t>Nous recherchons des entreprises maliennes qui ont une bonne expérience dans la collecte de données dans le domaine du Wash plus spécifiquement. Toute entreprise régulièrement enregistrée au Mali et disposant de références documentées est invitée à soumettre une proposition technique et financière.</w:t>
      </w:r>
    </w:p>
    <w:p w14:paraId="44A402F3" w14:textId="77777777" w:rsidR="00905035" w:rsidRPr="00905035" w:rsidRDefault="00905035" w:rsidP="00905035">
      <w:pPr>
        <w:pStyle w:val="ListParagraph"/>
        <w:numPr>
          <w:ilvl w:val="0"/>
          <w:numId w:val="4"/>
        </w:numPr>
        <w:spacing w:before="240" w:after="160" w:line="256" w:lineRule="auto"/>
        <w:ind w:left="720"/>
        <w:jc w:val="both"/>
        <w:rPr>
          <w:lang w:val="fr-FR"/>
        </w:rPr>
      </w:pPr>
      <w:r w:rsidRPr="00905035">
        <w:rPr>
          <w:lang w:val="fr-FR"/>
        </w:rPr>
        <w:t>L’application pour la collecte a-t-il déjà été conçue ? si oui serais-t-il possible de connaitre les indicateurs ?</w:t>
      </w:r>
    </w:p>
    <w:p w14:paraId="6311FDAA" w14:textId="77777777" w:rsidR="00905035" w:rsidRPr="00905035" w:rsidRDefault="00905035" w:rsidP="00905035">
      <w:pPr>
        <w:ind w:left="720"/>
        <w:jc w:val="both"/>
        <w:rPr>
          <w:color w:val="FF0000"/>
          <w:lang w:val="fr-FR"/>
        </w:rPr>
      </w:pPr>
      <w:r w:rsidRPr="00905035">
        <w:rPr>
          <w:color w:val="FF0000"/>
          <w:lang w:val="fr-FR"/>
        </w:rPr>
        <w:lastRenderedPageBreak/>
        <w:t xml:space="preserve">L'application de collecte est élaborée sous Survey CTO et sera partagée avec la firme qui sera retenue au terme de ce processus de </w:t>
      </w:r>
      <w:proofErr w:type="spellStart"/>
      <w:r w:rsidRPr="00905035">
        <w:rPr>
          <w:color w:val="FF0000"/>
          <w:lang w:val="fr-FR"/>
        </w:rPr>
        <w:t>selection</w:t>
      </w:r>
      <w:proofErr w:type="spellEnd"/>
      <w:r w:rsidRPr="00905035">
        <w:rPr>
          <w:color w:val="FF0000"/>
          <w:lang w:val="fr-FR"/>
        </w:rPr>
        <w:t xml:space="preserve"> après la signature du contrat. Les agents de collecte des données seront formés sur les différents outils et un test sera fait pour corriger tout bug constate. Pour autant à ce stade du RFQ nous ne souhaitons pas partager d'indicateurs avec les potentiels soumissionnaires.</w:t>
      </w:r>
    </w:p>
    <w:p w14:paraId="443D5759" w14:textId="77777777" w:rsidR="00905035" w:rsidRPr="00905035" w:rsidRDefault="00905035" w:rsidP="00905035">
      <w:pPr>
        <w:pStyle w:val="ListParagraph"/>
        <w:numPr>
          <w:ilvl w:val="0"/>
          <w:numId w:val="4"/>
        </w:numPr>
        <w:spacing w:before="240" w:after="160" w:line="256" w:lineRule="auto"/>
        <w:ind w:left="720"/>
        <w:jc w:val="both"/>
        <w:rPr>
          <w:lang w:val="fr-FR"/>
        </w:rPr>
      </w:pPr>
      <w:r w:rsidRPr="00905035">
        <w:rPr>
          <w:lang w:val="fr-FR"/>
        </w:rPr>
        <w:t>Pour la logistique, les travaux de terrain seront réalisés ensemble avec vous ou séparément ?</w:t>
      </w:r>
    </w:p>
    <w:p w14:paraId="004CBD17" w14:textId="77777777" w:rsidR="00905035" w:rsidRPr="00905035" w:rsidRDefault="00905035" w:rsidP="00905035">
      <w:pPr>
        <w:pStyle w:val="ListParagraph"/>
        <w:jc w:val="both"/>
        <w:rPr>
          <w:color w:val="FF0000"/>
          <w:lang w:val="fr-FR"/>
        </w:rPr>
      </w:pPr>
      <w:r w:rsidRPr="00905035">
        <w:rPr>
          <w:color w:val="FF0000"/>
          <w:lang w:val="fr-FR"/>
        </w:rPr>
        <w:t xml:space="preserve">Les propositions des firmes doivent inclure tous les couts liés à la collecte des données y compris la logistique et tout autre frais identifies dans la </w:t>
      </w:r>
      <w:proofErr w:type="spellStart"/>
      <w:r w:rsidRPr="00905035">
        <w:rPr>
          <w:color w:val="FF0000"/>
          <w:lang w:val="fr-FR"/>
        </w:rPr>
        <w:t>methodologie</w:t>
      </w:r>
      <w:proofErr w:type="spellEnd"/>
      <w:r w:rsidRPr="00905035">
        <w:rPr>
          <w:color w:val="FF0000"/>
          <w:lang w:val="fr-FR"/>
        </w:rPr>
        <w:t xml:space="preserve">. L'équipe de la Baseline supervisera les enquêtes effectuées par la firme avec ses propres moyens. La </w:t>
      </w:r>
      <w:proofErr w:type="spellStart"/>
      <w:r w:rsidRPr="00905035">
        <w:rPr>
          <w:color w:val="FF0000"/>
          <w:lang w:val="fr-FR"/>
        </w:rPr>
        <w:t>methodologie</w:t>
      </w:r>
      <w:proofErr w:type="spellEnd"/>
      <w:r w:rsidRPr="00905035">
        <w:rPr>
          <w:color w:val="FF0000"/>
          <w:lang w:val="fr-FR"/>
        </w:rPr>
        <w:t xml:space="preserve"> de supervision sera partagée durant la phase de préparation de l'enquête de terrain.</w:t>
      </w:r>
    </w:p>
    <w:p w14:paraId="1AFEC0F9" w14:textId="77777777" w:rsidR="00905035" w:rsidRPr="00905035" w:rsidRDefault="00905035" w:rsidP="00905035">
      <w:pPr>
        <w:ind w:left="720"/>
        <w:rPr>
          <w:rFonts w:ascii="Segoe UI" w:hAnsi="Segoe UI" w:cs="Segoe UI"/>
          <w:lang w:val="fr-FR"/>
        </w:rPr>
      </w:pPr>
    </w:p>
    <w:p w14:paraId="3A3DCAFA" w14:textId="77777777" w:rsidR="00905035" w:rsidRPr="00905035" w:rsidRDefault="00905035" w:rsidP="00905035">
      <w:pPr>
        <w:ind w:left="720"/>
        <w:rPr>
          <w:rFonts w:ascii="Segoe UI" w:hAnsi="Segoe UI" w:cs="Segoe UI"/>
          <w:lang w:val="fr-FR"/>
        </w:rPr>
      </w:pPr>
    </w:p>
    <w:p w14:paraId="11F6F156" w14:textId="77777777" w:rsidR="00905035" w:rsidRPr="00905035" w:rsidRDefault="00905035" w:rsidP="00905035">
      <w:pPr>
        <w:ind w:left="720"/>
        <w:jc w:val="both"/>
        <w:rPr>
          <w:color w:val="FF0000"/>
          <w:lang w:val="fr-FR"/>
        </w:rPr>
      </w:pPr>
    </w:p>
    <w:sectPr w:rsidR="00905035" w:rsidRPr="009050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18C2"/>
    <w:multiLevelType w:val="hybridMultilevel"/>
    <w:tmpl w:val="E8349FC6"/>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15:restartNumberingAfterBreak="0">
    <w:nsid w:val="190E750A"/>
    <w:multiLevelType w:val="hybridMultilevel"/>
    <w:tmpl w:val="7B109D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AD3D21"/>
    <w:multiLevelType w:val="hybridMultilevel"/>
    <w:tmpl w:val="DC8ED770"/>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5B382E11"/>
    <w:multiLevelType w:val="multilevel"/>
    <w:tmpl w:val="C13E0E68"/>
    <w:lvl w:ilvl="0">
      <w:start w:val="1"/>
      <w:numFmt w:val="decimal"/>
      <w:lvlText w:val="%1."/>
      <w:lvlJc w:val="left"/>
      <w:pPr>
        <w:ind w:left="5605"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1780BEB"/>
    <w:multiLevelType w:val="multilevel"/>
    <w:tmpl w:val="F7F4EA04"/>
    <w:lvl w:ilvl="0">
      <w:start w:val="1"/>
      <w:numFmt w:val="decimal"/>
      <w:lvlText w:val="%1."/>
      <w:lvlJc w:val="left"/>
      <w:pPr>
        <w:ind w:left="5605" w:hanging="360"/>
      </w:pPr>
      <w:rPr>
        <w:b/>
      </w:rPr>
    </w:lvl>
    <w:lvl w:ilvl="1">
      <w:start w:val="3"/>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024704D"/>
    <w:multiLevelType w:val="multilevel"/>
    <w:tmpl w:val="22080726"/>
    <w:lvl w:ilvl="0">
      <w:start w:val="1"/>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6" w15:restartNumberingAfterBreak="0">
    <w:nsid w:val="7AFA0BEB"/>
    <w:multiLevelType w:val="multilevel"/>
    <w:tmpl w:val="C9762A70"/>
    <w:lvl w:ilvl="0">
      <w:start w:val="1"/>
      <w:numFmt w:val="decimal"/>
      <w:lvlText w:val="%1."/>
      <w:lvlJc w:val="left"/>
      <w:pPr>
        <w:ind w:left="5605" w:hanging="360"/>
      </w:pPr>
      <w:rPr>
        <w:b/>
      </w:rPr>
    </w:lvl>
    <w:lvl w:ilvl="1">
      <w:start w:val="3"/>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0662033">
    <w:abstractNumId w:val="5"/>
  </w:num>
  <w:num w:numId="2" w16cid:durableId="399913245">
    <w:abstractNumId w:val="3"/>
  </w:num>
  <w:num w:numId="3" w16cid:durableId="894973344">
    <w:abstractNumId w:val="6"/>
  </w:num>
  <w:num w:numId="4" w16cid:durableId="1107851982">
    <w:abstractNumId w:val="4"/>
  </w:num>
  <w:num w:numId="5" w16cid:durableId="2066559045">
    <w:abstractNumId w:val="0"/>
  </w:num>
  <w:num w:numId="6" w16cid:durableId="1244342962">
    <w:abstractNumId w:val="2"/>
  </w:num>
  <w:num w:numId="7" w16cid:durableId="67364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B90"/>
    <w:rsid w:val="000156B6"/>
    <w:rsid w:val="00016BB7"/>
    <w:rsid w:val="00092E20"/>
    <w:rsid w:val="0018287D"/>
    <w:rsid w:val="001A238B"/>
    <w:rsid w:val="001A57BD"/>
    <w:rsid w:val="001C01BB"/>
    <w:rsid w:val="001E51AC"/>
    <w:rsid w:val="002006EA"/>
    <w:rsid w:val="002B378E"/>
    <w:rsid w:val="002F451D"/>
    <w:rsid w:val="00317AA1"/>
    <w:rsid w:val="003501AB"/>
    <w:rsid w:val="00361C79"/>
    <w:rsid w:val="003723E7"/>
    <w:rsid w:val="003F6420"/>
    <w:rsid w:val="00473847"/>
    <w:rsid w:val="004B6ED3"/>
    <w:rsid w:val="00552D53"/>
    <w:rsid w:val="00583E8E"/>
    <w:rsid w:val="007171CC"/>
    <w:rsid w:val="00797378"/>
    <w:rsid w:val="00844B90"/>
    <w:rsid w:val="00905035"/>
    <w:rsid w:val="00914E4D"/>
    <w:rsid w:val="009477A7"/>
    <w:rsid w:val="009C29CF"/>
    <w:rsid w:val="00A40F7C"/>
    <w:rsid w:val="00A85CD4"/>
    <w:rsid w:val="00AA0F5A"/>
    <w:rsid w:val="00AF3FDF"/>
    <w:rsid w:val="00B40B1A"/>
    <w:rsid w:val="00B73775"/>
    <w:rsid w:val="00BC4EAB"/>
    <w:rsid w:val="00BF2D69"/>
    <w:rsid w:val="00CB2553"/>
    <w:rsid w:val="00D30F74"/>
    <w:rsid w:val="00D80C53"/>
    <w:rsid w:val="00DE2621"/>
    <w:rsid w:val="00E02EC8"/>
    <w:rsid w:val="00FA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C3E9"/>
  <w15:docId w15:val="{0776A31D-C33A-4C68-AC75-7F9A9AE2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14E4D"/>
    <w:pPr>
      <w:ind w:left="720"/>
      <w:contextualSpacing/>
    </w:pPr>
  </w:style>
  <w:style w:type="paragraph" w:styleId="Revision">
    <w:name w:val="Revision"/>
    <w:hidden/>
    <w:uiPriority w:val="99"/>
    <w:semiHidden/>
    <w:rsid w:val="00905035"/>
    <w:pPr>
      <w:spacing w:line="240" w:lineRule="auto"/>
    </w:pPr>
  </w:style>
  <w:style w:type="character" w:styleId="Hyperlink">
    <w:name w:val="Hyperlink"/>
    <w:basedOn w:val="DefaultParagraphFont"/>
    <w:uiPriority w:val="99"/>
    <w:unhideWhenUsed/>
    <w:rsid w:val="001A238B"/>
    <w:rPr>
      <w:color w:val="0000FF"/>
      <w:u w:val="single"/>
    </w:rPr>
  </w:style>
  <w:style w:type="character" w:styleId="FollowedHyperlink">
    <w:name w:val="FollowedHyperlink"/>
    <w:basedOn w:val="DefaultParagraphFont"/>
    <w:uiPriority w:val="99"/>
    <w:semiHidden/>
    <w:unhideWhenUsed/>
    <w:rsid w:val="001A238B"/>
    <w:rPr>
      <w:color w:val="800080" w:themeColor="followedHyperlink"/>
      <w:u w:val="single"/>
    </w:rPr>
  </w:style>
  <w:style w:type="character" w:styleId="UnresolvedMention">
    <w:name w:val="Unresolved Mention"/>
    <w:basedOn w:val="DefaultParagraphFont"/>
    <w:uiPriority w:val="99"/>
    <w:semiHidden/>
    <w:unhideWhenUsed/>
    <w:rsid w:val="001A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50453">
      <w:bodyDiv w:val="1"/>
      <w:marLeft w:val="0"/>
      <w:marRight w:val="0"/>
      <w:marTop w:val="0"/>
      <w:marBottom w:val="0"/>
      <w:divBdr>
        <w:top w:val="none" w:sz="0" w:space="0" w:color="auto"/>
        <w:left w:val="none" w:sz="0" w:space="0" w:color="auto"/>
        <w:bottom w:val="none" w:sz="0" w:space="0" w:color="auto"/>
        <w:right w:val="none" w:sz="0" w:space="0" w:color="auto"/>
      </w:divBdr>
    </w:div>
    <w:div w:id="87427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defense.gov/2022/Oct/05/2003091659/-1/-1/0/1260H%20COMPANIES.PDF" TargetMode="External"/><Relationship Id="rId3" Type="http://schemas.openxmlformats.org/officeDocument/2006/relationships/numbering" Target="numbering.xml"/><Relationship Id="rId7" Type="http://schemas.openxmlformats.org/officeDocument/2006/relationships/hyperlink" Target="https://media.defense.gov/2022/Oct/05/2003091659/-1/-1/0/1260H%20COMPANI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5C72091E2844CB8A1104B4EE3C62C" ma:contentTypeVersion="13" ma:contentTypeDescription="Create a new document." ma:contentTypeScope="" ma:versionID="60dab497e92767059dc7b2357b119f05">
  <xsd:schema xmlns:xsd="http://www.w3.org/2001/XMLSchema" xmlns:xs="http://www.w3.org/2001/XMLSchema" xmlns:p="http://schemas.microsoft.com/office/2006/metadata/properties" xmlns:ns2="ff40593d-12c9-4d61-850a-a52417201426" xmlns:ns3="c77fb582-37ac-490a-a3e4-21db8499f202" targetNamespace="http://schemas.microsoft.com/office/2006/metadata/properties" ma:root="true" ma:fieldsID="b7439d79399023d3edeb5aedebacc5b8" ns2:_="" ns3:_="">
    <xsd:import namespace="ff40593d-12c9-4d61-850a-a52417201426"/>
    <xsd:import namespace="c77fb582-37ac-490a-a3e4-21db8499f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593d-12c9-4d61-850a-a5241720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fb582-37ac-490a-a3e4-21db8499f2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1194f6-0f7e-411b-8029-4674521efafc}" ma:internalName="TaxCatchAll" ma:showField="CatchAllData" ma:web="c77fb582-37ac-490a-a3e4-21db8499f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127CF-48AA-486E-A7BE-EA4859BA4DAE}">
  <ds:schemaRefs>
    <ds:schemaRef ds:uri="http://schemas.microsoft.com/sharepoint/v3/contenttype/forms"/>
  </ds:schemaRefs>
</ds:datastoreItem>
</file>

<file path=customXml/itemProps2.xml><?xml version="1.0" encoding="utf-8"?>
<ds:datastoreItem xmlns:ds="http://schemas.openxmlformats.org/officeDocument/2006/customXml" ds:itemID="{D6CC9D9A-C3F3-4958-A568-974105814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593d-12c9-4d61-850a-a52417201426"/>
    <ds:schemaRef ds:uri="c77fb582-37ac-490a-a3e4-21db8499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2009</Words>
  <Characters>10909</Characters>
  <Application>Microsoft Office Word</Application>
  <DocSecurity>0</DocSecurity>
  <Lines>191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Nelson</dc:creator>
  <cp:lastModifiedBy>Joan Huai</cp:lastModifiedBy>
  <cp:revision>16</cp:revision>
  <dcterms:created xsi:type="dcterms:W3CDTF">2023-06-26T18:16:00Z</dcterms:created>
  <dcterms:modified xsi:type="dcterms:W3CDTF">2023-06-26T19:42:00Z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dcaae524d79220512314c8baef9832ffb16b63caafdf93f80c91bf6f66b4cd50</vt:lpwstr>
  </property>
</Properties>
</file>